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0330D0" w:rsidTr="00555933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5</w:t>
            </w:r>
          </w:p>
        </w:tc>
      </w:tr>
      <w:tr w:rsidR="000330D0" w:rsidTr="00555933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0330D0" w:rsidTr="00555933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Dostęp do informacji publicznej</w:t>
            </w:r>
          </w:p>
        </w:tc>
      </w:tr>
      <w:tr w:rsidR="000330D0" w:rsidRPr="00281896" w:rsidTr="00555933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6967">
              <w:rPr>
                <w:rFonts w:ascii="Arial" w:hAnsi="Arial" w:cs="Arial"/>
                <w:sz w:val="24"/>
                <w:szCs w:val="24"/>
                <w:lang w:val="en-US"/>
              </w:rPr>
              <w:t>Access to public information</w:t>
            </w:r>
          </w:p>
        </w:tc>
      </w:tr>
      <w:tr w:rsidR="000330D0" w:rsidTr="00555933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Język polski</w:t>
            </w:r>
          </w:p>
        </w:tc>
      </w:tr>
      <w:tr w:rsidR="000330D0" w:rsidTr="00555933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Administracja</w:t>
            </w:r>
          </w:p>
        </w:tc>
      </w:tr>
      <w:tr w:rsidR="000330D0" w:rsidTr="00555933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Wydział Nauk Ekonomicznych i Prawnych</w:t>
            </w:r>
          </w:p>
        </w:tc>
      </w:tr>
      <w:tr w:rsidR="000330D0" w:rsidTr="00555933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0330D0" w:rsidTr="00555933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pierwsze</w:t>
            </w:r>
            <w:r w:rsidRPr="001170FF">
              <w:rPr>
                <w:rFonts w:ascii="Arial" w:hAnsi="Arial" w:cs="Arial"/>
                <w:color w:val="000000"/>
              </w:rPr>
              <w:t>go stopnia</w:t>
            </w:r>
          </w:p>
        </w:tc>
      </w:tr>
      <w:tr w:rsidR="000330D0" w:rsidTr="00555933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III</w:t>
            </w:r>
          </w:p>
        </w:tc>
      </w:tr>
      <w:tr w:rsidR="000330D0" w:rsidTr="00555933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330D0" w:rsidTr="00555933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330D0" w:rsidTr="0055593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A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C54B8F">
              <w:rPr>
                <w:rFonts w:ascii="Arial" w:hAnsi="Arial" w:cs="Arial"/>
                <w:color w:val="000000"/>
              </w:rPr>
              <w:t xml:space="preserve">r </w:t>
            </w:r>
            <w:r w:rsidR="005A45E1">
              <w:rPr>
                <w:rFonts w:ascii="Arial" w:hAnsi="Arial" w:cs="Arial"/>
                <w:color w:val="000000"/>
              </w:rPr>
              <w:t xml:space="preserve"> hab. (prof. UPH) J. Kolarzowski</w:t>
            </w:r>
          </w:p>
        </w:tc>
      </w:tr>
      <w:tr w:rsidR="000330D0" w:rsidTr="0055593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7A2C94" w:rsidRDefault="000330D0" w:rsidP="005A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C54B8F">
              <w:rPr>
                <w:rFonts w:ascii="Arial" w:hAnsi="Arial" w:cs="Arial"/>
                <w:color w:val="000000"/>
              </w:rPr>
              <w:t xml:space="preserve">r </w:t>
            </w:r>
            <w:r w:rsidR="005A45E1">
              <w:rPr>
                <w:rFonts w:ascii="Arial" w:hAnsi="Arial" w:cs="Arial"/>
                <w:color w:val="000000"/>
              </w:rPr>
              <w:t>hab. (prof. UPH) J. Kolarzowski</w:t>
            </w:r>
          </w:p>
        </w:tc>
      </w:tr>
      <w:tr w:rsidR="000330D0" w:rsidTr="0055593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0D0" w:rsidRPr="004B23EB" w:rsidRDefault="000330D0" w:rsidP="00555933">
            <w:pPr>
              <w:pStyle w:val="Default"/>
              <w:jc w:val="both"/>
              <w:rPr>
                <w:rFonts w:ascii="Arial" w:hAnsi="Arial" w:cs="Arial"/>
              </w:rPr>
            </w:pPr>
            <w:r w:rsidRPr="007A2C94">
              <w:rPr>
                <w:rFonts w:ascii="Arial" w:hAnsi="Arial" w:cs="Arial"/>
              </w:rPr>
              <w:t xml:space="preserve"> </w:t>
            </w:r>
            <w:r w:rsidRPr="004B23EB">
              <w:rPr>
                <w:rFonts w:ascii="Arial" w:hAnsi="Arial" w:cs="Arial"/>
              </w:rPr>
              <w:t>Przyswojenie i rozumienie podstawowych pojęć określonych w ustawie o dostępie  do informacji  publicznej,  a  także  związanych z ochroną danych osobowych oraz z ochroną informacji niejawnych bądź zasad funkcjonowania podstawowych instytucji w przedmiotowym zakresie.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30D0" w:rsidTr="00555933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0330D0" w:rsidTr="00555933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KW- 02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136">
              <w:rPr>
                <w:rFonts w:ascii="Arial" w:hAnsi="Arial" w:cs="Arial"/>
                <w:sz w:val="24"/>
                <w:szCs w:val="24"/>
              </w:rPr>
              <w:t xml:space="preserve">przyswoił sobie oraz rozumie podstawowe pojęcia z zakresu </w:t>
            </w:r>
            <w:r w:rsidRPr="007C0136">
              <w:rPr>
                <w:rFonts w:ascii="Arial" w:hAnsi="Arial" w:cs="Arial"/>
                <w:bCs/>
                <w:sz w:val="24"/>
                <w:szCs w:val="24"/>
              </w:rPr>
              <w:t xml:space="preserve">dostępu do informacji publicznej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W01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KW- 05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uświadamia sobie </w:t>
            </w:r>
            <w:r w:rsidRPr="007C01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znaczenie wiedzy na temat dostępu do informacji publicznej</w:t>
            </w:r>
            <w:r w:rsidRPr="007C0136">
              <w:rPr>
                <w:rFonts w:ascii="Arial" w:hAnsi="Arial" w:cs="Arial"/>
                <w:sz w:val="24"/>
                <w:szCs w:val="24"/>
              </w:rPr>
              <w:t xml:space="preserve"> w funkcjonowaniu współczesnego państwa i społeczeństwa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W02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 -09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FF6">
              <w:rPr>
                <w:rFonts w:ascii="Arial" w:hAnsi="Arial" w:cs="Arial"/>
                <w:sz w:val="24"/>
                <w:szCs w:val="24"/>
              </w:rPr>
              <w:t>posiada wiedzę na temat działania polskiego systemu</w:t>
            </w:r>
            <w:r>
              <w:rPr>
                <w:rFonts w:ascii="Arial" w:hAnsi="Arial" w:cs="Arial"/>
                <w:bCs/>
              </w:rPr>
              <w:t xml:space="preserve"> dostępu do informacji publicznej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W04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375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KU- 09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FF6">
              <w:rPr>
                <w:rFonts w:ascii="Arial" w:hAnsi="Arial" w:cs="Arial"/>
                <w:sz w:val="24"/>
                <w:szCs w:val="24"/>
              </w:rPr>
              <w:t xml:space="preserve">potrafi </w:t>
            </w:r>
            <w:r w:rsidRPr="004F7B6D">
              <w:rPr>
                <w:rStyle w:val="wrtext"/>
                <w:rFonts w:ascii="Arial" w:hAnsi="Arial" w:cs="Arial"/>
                <w:sz w:val="24"/>
                <w:szCs w:val="24"/>
              </w:rPr>
              <w:t>napisać wniosek o udostępnienie informacji publicznej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U09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KU-  10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75FF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trafi </w:t>
            </w:r>
            <w:r w:rsidRPr="007C0136">
              <w:rPr>
                <w:rStyle w:val="wrtext"/>
                <w:rFonts w:ascii="Arial" w:hAnsi="Arial" w:cs="Arial"/>
                <w:sz w:val="24"/>
                <w:szCs w:val="24"/>
              </w:rPr>
              <w:t>uzyskać informacje z Biuletynu Informacji Publicznej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U08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KK- 06</w:t>
            </w: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KK- 01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330D0" w:rsidRPr="00621FCA" w:rsidRDefault="000330D0" w:rsidP="0055593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FCA">
              <w:rPr>
                <w:rFonts w:ascii="Arial" w:hAnsi="Arial" w:cs="Arial"/>
                <w:sz w:val="24"/>
                <w:szCs w:val="24"/>
              </w:rPr>
              <w:t>uczestnicząc w zajęciach z</w:t>
            </w:r>
            <w:r w:rsidRPr="00621FCA">
              <w:rPr>
                <w:rStyle w:val="wrtext"/>
                <w:rFonts w:ascii="Arial" w:hAnsi="Arial" w:cs="Arial"/>
                <w:sz w:val="24"/>
                <w:szCs w:val="24"/>
              </w:rPr>
              <w:t>dobywa wiedzę na temat jawności życia publicznego jako genezy prawa do informacji publicznej oraz rozumie znaczenie jawności życia publicznego dla funkcjonowania demokratycznego państwa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FCA">
              <w:rPr>
                <w:rStyle w:val="wrtext"/>
                <w:rFonts w:ascii="Arial" w:hAnsi="Arial" w:cs="Arial"/>
                <w:sz w:val="24"/>
                <w:szCs w:val="24"/>
              </w:rPr>
              <w:t>dzięki zdobyciu praktycznej wiedzy na temat zasad i trybu udostępniania informacji publicznej czy też zapoznaniu się z orzecznictwem dotyczącym dostępu do informacji publicznej poszerza swoją świadomość obywatelską na temat przysługujących mu praw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K06</w:t>
            </w: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330D0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S1A- K01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0D0" w:rsidTr="00555933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70FF">
              <w:rPr>
                <w:rFonts w:ascii="Arial" w:hAnsi="Arial" w:cs="Arial"/>
                <w:color w:val="000000"/>
              </w:rPr>
              <w:t>Wykład, ćwiczenia audytoryjne</w:t>
            </w: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0330D0" w:rsidTr="00555933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0D0" w:rsidRPr="007A2C94" w:rsidRDefault="000330D0" w:rsidP="00555933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170FF">
              <w:rPr>
                <w:rFonts w:ascii="Arial" w:hAnsi="Arial" w:cs="Arial"/>
                <w:color w:val="000000"/>
              </w:rPr>
              <w:t>Znajomość podstawowych pojęć z zakresu</w:t>
            </w:r>
            <w:r>
              <w:rPr>
                <w:rFonts w:ascii="Arial" w:hAnsi="Arial" w:cs="Arial"/>
                <w:color w:val="000000"/>
              </w:rPr>
              <w:t xml:space="preserve"> prawoznawstwa oraz prawa konstytucyjnego</w:t>
            </w:r>
            <w:r w:rsidRPr="001170F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0330D0" w:rsidTr="00691E76">
        <w:trPr>
          <w:trHeight w:val="55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Wprowadzenie do problematyki jawności życia publicznego.  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2.Informacja publiczna.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2.1.Pojęcie informacji publicznej i informacji przetworzonej w ustawie o dostępie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2.2.Sposoby regulacji zakresu przedmiotowego ustaw normujących zasady dostępu do informacji o wykonywaniu zadań administracji publicznej na świecie.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3.Generalna klauzula dostępu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4.Katalog podmiotów zobowiązanych do udostępniania informacji publicznej i katalog podmiotów uprawnionych do uzyskania tej informacji.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5.Tryb i formy udostępniania informacji publicznej na gruncie ustawy o dostępie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5.1.Katalog form udostępnienia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5.2.Zasady dostępu do dokumentu urzędowego.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5.3.Zasady dostępu do informacji przetworzonej.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5.4.Biuletyn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5.5.Prawo uczestnictwa w posiedzeniach organów kolegialnych pochodzących z powszechnych wyborów, 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5.6.Dostęp do informacji publicznej na wniosek. 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6.Granice prawa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 Sposób regulacji granic prawa do informacji w ustawodawstwie europejskim i ustawach wybranych krajów europejskich i pozaeuropejskich.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 Granice prawa do informacji w Konstytucji RP.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 Granice prawa do informacji wprowadzone ustawą o dostępie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7.Kontrola administracyjna i sądowa realizacji prawa dostępu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7.1.Modele kontroli administracyjnej.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7.2.Kontrola administracyjna w ustawie o dostępie do informacji publicznej.</w:t>
            </w:r>
          </w:p>
          <w:p w:rsidR="00691E76" w:rsidRDefault="00691E76" w:rsidP="00691E76">
            <w:pPr>
              <w:pStyle w:val="Normalny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 Kontrola sądowa prawa do informacji publicznej.</w:t>
            </w:r>
          </w:p>
          <w:p w:rsidR="00691E76" w:rsidRDefault="00691E76" w:rsidP="0069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8.Opłaty i koszty udostępnienia informacji publicznej.</w:t>
            </w:r>
          </w:p>
          <w:p w:rsidR="00691E76" w:rsidRDefault="00691E76" w:rsidP="0069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Ochrona spersonalizowanych danych osobowych. </w:t>
            </w:r>
          </w:p>
          <w:p w:rsidR="00691E76" w:rsidRDefault="00691E76" w:rsidP="00691E76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1 RODO i jego zakres ochrony danych – wymogi legislacyjne.</w:t>
            </w:r>
          </w:p>
          <w:p w:rsidR="000330D0" w:rsidRPr="007A2C94" w:rsidRDefault="00691E76" w:rsidP="00691E76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9.2 Ustawa o ochronie danych osobowych z 10.05.2018.</w:t>
            </w: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podstawowa:</w:t>
            </w:r>
          </w:p>
        </w:tc>
      </w:tr>
      <w:tr w:rsidR="000330D0" w:rsidTr="00555933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0D0" w:rsidRPr="00143FD4" w:rsidRDefault="000330D0" w:rsidP="000330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FD4">
              <w:rPr>
                <w:rFonts w:ascii="Arial" w:hAnsi="Arial" w:cs="Arial"/>
                <w:sz w:val="24"/>
                <w:szCs w:val="24"/>
              </w:rPr>
              <w:t>P.</w:t>
            </w:r>
            <w:r w:rsidR="005A45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FD4">
              <w:rPr>
                <w:rFonts w:ascii="Arial" w:hAnsi="Arial" w:cs="Arial"/>
                <w:sz w:val="24"/>
                <w:szCs w:val="24"/>
              </w:rPr>
              <w:t>Szustakiewicz (red.), Dostęp  do informacji  publicznej, Wydawnictwo C. H. Beck, Warszawa 2014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30D0" w:rsidRPr="00143FD4" w:rsidRDefault="000330D0" w:rsidP="000330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FD4">
              <w:rPr>
                <w:rFonts w:ascii="Arial" w:hAnsi="Arial" w:cs="Arial"/>
                <w:sz w:val="24"/>
                <w:szCs w:val="24"/>
              </w:rPr>
              <w:t>P.Sitniewski</w:t>
            </w:r>
            <w:proofErr w:type="spellEnd"/>
            <w:r w:rsidRPr="00143FD4">
              <w:rPr>
                <w:rFonts w:ascii="Arial" w:hAnsi="Arial" w:cs="Arial"/>
                <w:sz w:val="24"/>
                <w:szCs w:val="24"/>
              </w:rPr>
              <w:t>, Dostęp  do informacji  publicznej. Pytania  i odpowie</w:t>
            </w:r>
            <w:r>
              <w:rPr>
                <w:rFonts w:ascii="Arial" w:hAnsi="Arial" w:cs="Arial"/>
                <w:sz w:val="24"/>
                <w:szCs w:val="24"/>
              </w:rPr>
              <w:t xml:space="preserve">dzi, Lex a Wolters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Cluwer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business,</w:t>
            </w:r>
            <w:r w:rsidRPr="00143FD4">
              <w:rPr>
                <w:rFonts w:ascii="Arial" w:hAnsi="Arial" w:cs="Arial"/>
                <w:sz w:val="24"/>
                <w:szCs w:val="24"/>
              </w:rPr>
              <w:t xml:space="preserve"> Warszawa 2014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30D0" w:rsidRPr="00143FD4" w:rsidRDefault="000330D0" w:rsidP="000330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FD4">
              <w:rPr>
                <w:rFonts w:ascii="Arial" w:hAnsi="Arial" w:cs="Arial"/>
                <w:sz w:val="24"/>
                <w:szCs w:val="24"/>
              </w:rPr>
              <w:t>J.Taczkowska</w:t>
            </w:r>
            <w:proofErr w:type="spellEnd"/>
            <w:r w:rsidRPr="00143FD4">
              <w:rPr>
                <w:rFonts w:ascii="Arial" w:hAnsi="Arial" w:cs="Arial"/>
                <w:sz w:val="24"/>
                <w:szCs w:val="24"/>
              </w:rPr>
              <w:t>-Olszewska,  Dostęp do informacji  publicznej  w polskim  systemie  prawnym, Wydawnictwo C. H. Beck,  Warszawa 2014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0330D0" w:rsidTr="00555933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0D0" w:rsidRPr="00B00737" w:rsidRDefault="005A45E1" w:rsidP="00555933">
            <w:pPr>
              <w:pStyle w:val="Akapitzlist"/>
              <w:ind w:hanging="5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330D0" w:rsidRPr="00B0073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A, Dmochowska, M. Zadrożny,  Unijna reforma ochrony danych osobowych. Analiza zmian, wyd. C. H. Beck, Warszawa 2016</w:t>
            </w:r>
          </w:p>
          <w:p w:rsidR="000330D0" w:rsidRPr="007A2C94" w:rsidRDefault="000330D0" w:rsidP="0062095E">
            <w:pPr>
              <w:pStyle w:val="Lista"/>
              <w:jc w:val="both"/>
              <w:rPr>
                <w:rFonts w:ascii="Arial" w:hAnsi="Arial" w:cs="Arial"/>
                <w:color w:val="000000"/>
              </w:rPr>
            </w:pPr>
            <w:r w:rsidRPr="00B0073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2095E">
              <w:rPr>
                <w:rFonts w:ascii="Arial" w:hAnsi="Arial" w:cs="Arial"/>
                <w:sz w:val="24"/>
                <w:szCs w:val="24"/>
              </w:rPr>
              <w:t>2</w:t>
            </w:r>
            <w:r w:rsidRPr="00B00737">
              <w:rPr>
                <w:rFonts w:ascii="Arial" w:hAnsi="Arial" w:cs="Arial"/>
                <w:sz w:val="24"/>
                <w:szCs w:val="24"/>
              </w:rPr>
              <w:t>.</w:t>
            </w:r>
            <w:r w:rsidR="0062095E">
              <w:rPr>
                <w:rFonts w:ascii="Arial" w:hAnsi="Arial" w:cs="Arial"/>
                <w:sz w:val="24"/>
                <w:szCs w:val="24"/>
              </w:rPr>
              <w:t xml:space="preserve"> Ogólne rozporządzenie o ochronie danych. Podręczny zbiór przepisów o ochronie danych osobowych, zestawień,  schematów oraz wzorów rejestru czynności przetwarzania, pod red. G. </w:t>
            </w:r>
            <w:proofErr w:type="spellStart"/>
            <w:r w:rsidR="0062095E">
              <w:rPr>
                <w:rFonts w:ascii="Arial" w:hAnsi="Arial" w:cs="Arial"/>
                <w:sz w:val="24"/>
                <w:szCs w:val="24"/>
              </w:rPr>
              <w:t>Sibiga</w:t>
            </w:r>
            <w:proofErr w:type="spellEnd"/>
            <w:r w:rsidR="0062095E">
              <w:rPr>
                <w:rFonts w:ascii="Arial" w:hAnsi="Arial" w:cs="Arial"/>
                <w:sz w:val="24"/>
                <w:szCs w:val="24"/>
              </w:rPr>
              <w:t xml:space="preserve">, K. Syska,  </w:t>
            </w:r>
            <w:r w:rsidR="005A45E1" w:rsidRPr="007A2C94">
              <w:rPr>
                <w:rFonts w:ascii="Arial" w:hAnsi="Arial" w:cs="Arial"/>
                <w:color w:val="000000"/>
              </w:rPr>
              <w:t xml:space="preserve"> </w:t>
            </w:r>
            <w:r w:rsidR="0062095E">
              <w:rPr>
                <w:rFonts w:ascii="Arial" w:hAnsi="Arial" w:cs="Arial"/>
                <w:sz w:val="24"/>
                <w:szCs w:val="24"/>
              </w:rPr>
              <w:t>wyd. C. H. Beck, Warszawa 2017</w:t>
            </w: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0330D0" w:rsidTr="00555933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0D0" w:rsidRPr="004B23EB" w:rsidRDefault="000330D0" w:rsidP="00555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3EB">
              <w:rPr>
                <w:rFonts w:ascii="Arial" w:hAnsi="Arial" w:cs="Arial"/>
                <w:sz w:val="24"/>
                <w:szCs w:val="24"/>
              </w:rPr>
              <w:t>Podstawową metodę dydaktyczną stanowi wykład z zastosowaniem prezentacji komputerowych. Omawiane zagadnienia poparte przykładami praktycznymi oraz analizą orzeczeń sądowych.</w:t>
            </w:r>
          </w:p>
          <w:p w:rsidR="000330D0" w:rsidRPr="004B23EB" w:rsidRDefault="000330D0" w:rsidP="0055593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3EB">
              <w:rPr>
                <w:rFonts w:ascii="Arial" w:hAnsi="Arial" w:cs="Arial"/>
                <w:sz w:val="24"/>
                <w:szCs w:val="24"/>
              </w:rPr>
              <w:t>Ćwiczenia prowadzone są z możliwie największym udziałem studentów, zawierające elementy konwersatorium.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0330D0" w:rsidTr="00555933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0D0" w:rsidRPr="004B23EB" w:rsidRDefault="000330D0" w:rsidP="00555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3EB">
              <w:rPr>
                <w:rFonts w:ascii="Arial" w:hAnsi="Arial" w:cs="Arial"/>
                <w:sz w:val="24"/>
                <w:szCs w:val="24"/>
              </w:rPr>
              <w:t xml:space="preserve">Weryfikacja efektów kształcenia z zakresu wiedzy przeprowadzana jest w trakcie egzaminu pisemnego sprawdzającego stopień opanowania przez studentów materiału wykładowego oraz wskazanych pozycji literatury. </w:t>
            </w:r>
          </w:p>
          <w:p w:rsidR="000330D0" w:rsidRPr="004B23EB" w:rsidRDefault="000330D0" w:rsidP="00555933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23EB">
              <w:rPr>
                <w:rFonts w:ascii="Arial" w:hAnsi="Arial" w:cs="Arial"/>
                <w:sz w:val="24"/>
                <w:szCs w:val="24"/>
              </w:rPr>
              <w:t>Weryfikacja efektów kształcenia w zakresie kompetencji społecznych następuje w trakcie ćwiczeń poprzez ocenę systematyczności i aktywności studenta oraz jego zachowań w grupie ćwiczeniowej(referat/dyskusja/projekt/debata/aktywność/rozwiązanie kazusu/kolokwium).</w:t>
            </w: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0330D0" w:rsidTr="00555933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ECA">
              <w:rPr>
                <w:rFonts w:ascii="Arial" w:hAnsi="Arial" w:cs="Arial"/>
                <w:sz w:val="24"/>
                <w:szCs w:val="24"/>
              </w:rPr>
              <w:t>Wykład: egzamin</w:t>
            </w:r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ECA">
              <w:rPr>
                <w:rFonts w:ascii="Arial" w:hAnsi="Arial" w:cs="Arial"/>
                <w:sz w:val="24"/>
                <w:szCs w:val="24"/>
              </w:rPr>
              <w:t>Ćwiczenia: zaliczenie bez oceny</w:t>
            </w:r>
          </w:p>
          <w:p w:rsidR="000330D0" w:rsidRPr="00D83ECA" w:rsidRDefault="000330D0" w:rsidP="00555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 xml:space="preserve">Procentowy zakres ocen z kolokwium i egzaminu: </w:t>
            </w:r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 xml:space="preserve">91 – 100% – </w:t>
            </w:r>
            <w:proofErr w:type="spellStart"/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>bdb</w:t>
            </w:r>
            <w:proofErr w:type="spellEnd"/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81 – 90%   –  </w:t>
            </w:r>
            <w:proofErr w:type="spellStart"/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db</w:t>
            </w:r>
            <w:proofErr w:type="spellEnd"/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+</w:t>
            </w:r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71 – 80%   –  </w:t>
            </w:r>
            <w:proofErr w:type="spellStart"/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db</w:t>
            </w:r>
            <w:proofErr w:type="spellEnd"/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61 – 70%   –  </w:t>
            </w:r>
            <w:proofErr w:type="spellStart"/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dst</w:t>
            </w:r>
            <w:proofErr w:type="spellEnd"/>
            <w:r w:rsidRPr="00D83ECA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+</w:t>
            </w:r>
          </w:p>
          <w:p w:rsidR="000330D0" w:rsidRPr="00D83ECA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 xml:space="preserve">51 – 60%   –  </w:t>
            </w:r>
            <w:proofErr w:type="spellStart"/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>dst</w:t>
            </w:r>
            <w:proofErr w:type="spellEnd"/>
          </w:p>
          <w:p w:rsidR="000330D0" w:rsidRPr="00D83ECA" w:rsidRDefault="000330D0" w:rsidP="00555933">
            <w:pPr>
              <w:pStyle w:val="Bezodstpw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 xml:space="preserve">50 – 0%     –  </w:t>
            </w:r>
            <w:proofErr w:type="spellStart"/>
            <w:r w:rsidRPr="00D83ECA">
              <w:rPr>
                <w:rFonts w:ascii="Arial" w:hAnsi="Arial" w:cs="Arial"/>
                <w:color w:val="000000"/>
                <w:sz w:val="24"/>
                <w:szCs w:val="24"/>
              </w:rPr>
              <w:t>ndst</w:t>
            </w:r>
            <w:proofErr w:type="spellEnd"/>
          </w:p>
          <w:p w:rsidR="000330D0" w:rsidRPr="00D83ECA" w:rsidRDefault="000330D0" w:rsidP="00555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30D0" w:rsidRPr="00D83ECA" w:rsidRDefault="000330D0" w:rsidP="0055593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83ECA">
              <w:rPr>
                <w:rFonts w:ascii="Arial" w:hAnsi="Arial" w:cs="Arial"/>
                <w:sz w:val="24"/>
                <w:szCs w:val="24"/>
              </w:rPr>
              <w:t>Podstawą zaliczenia ćwiczeń jest uzyskanie minimum 51 % z każdego z kolokwium</w:t>
            </w:r>
          </w:p>
          <w:p w:rsidR="000330D0" w:rsidRPr="00D83ECA" w:rsidRDefault="000330D0" w:rsidP="00555933">
            <w:pPr>
              <w:rPr>
                <w:rFonts w:ascii="Arial" w:hAnsi="Arial" w:cs="Arial"/>
                <w:sz w:val="24"/>
                <w:szCs w:val="24"/>
              </w:rPr>
            </w:pPr>
            <w:r w:rsidRPr="00D83ECA">
              <w:rPr>
                <w:rFonts w:ascii="Arial" w:hAnsi="Arial" w:cs="Arial"/>
                <w:sz w:val="24"/>
                <w:szCs w:val="24"/>
              </w:rPr>
              <w:lastRenderedPageBreak/>
              <w:t>Na ocenę końcową z przedmiotu (wpisywaną do systemu USOS Web) w 50% wpływa wynik egzaminu z wykładów oraz w 50% - zaliczenie ćwiczeń.</w:t>
            </w:r>
          </w:p>
          <w:p w:rsidR="000330D0" w:rsidRPr="007A2C94" w:rsidRDefault="000330D0" w:rsidP="00555933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0D0" w:rsidRPr="007A2C94" w:rsidRDefault="000330D0" w:rsidP="00555933">
            <w:pPr>
              <w:tabs>
                <w:tab w:val="left" w:pos="20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0D0" w:rsidTr="0055593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Bilans punktów ECTS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30D0" w:rsidTr="0055593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1170FF" w:rsidRDefault="000330D0" w:rsidP="0055593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170FF">
              <w:rPr>
                <w:rFonts w:ascii="Arial" w:hAnsi="Arial" w:cs="Arial"/>
                <w:b/>
                <w:color w:val="000000"/>
              </w:rPr>
              <w:t>Studia stacjonarne</w:t>
            </w:r>
          </w:p>
          <w:p w:rsidR="000330D0" w:rsidRPr="001170FF" w:rsidRDefault="000330D0" w:rsidP="000330D0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 xml:space="preserve">Godziny kontaktowe: </w:t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 xml:space="preserve">- 30 </w:t>
            </w:r>
            <w:r>
              <w:rPr>
                <w:rFonts w:ascii="Arial" w:hAnsi="Arial" w:cs="Arial"/>
              </w:rPr>
              <w:t xml:space="preserve"> </w:t>
            </w:r>
            <w:r w:rsidRPr="001170FF">
              <w:rPr>
                <w:rFonts w:ascii="Arial" w:hAnsi="Arial" w:cs="Arial"/>
              </w:rPr>
              <w:t>h wykładów;</w:t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170FF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1170FF">
              <w:rPr>
                <w:rFonts w:ascii="Arial" w:hAnsi="Arial" w:cs="Arial"/>
              </w:rPr>
              <w:t>h ćwiczeń</w:t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 </w:t>
            </w:r>
            <w:r w:rsidRPr="001170FF">
              <w:rPr>
                <w:rFonts w:ascii="Arial" w:hAnsi="Arial" w:cs="Arial"/>
              </w:rPr>
              <w:t>5 h konsultacje.</w:t>
            </w:r>
          </w:p>
          <w:p w:rsidR="000330D0" w:rsidRPr="001170FF" w:rsidRDefault="000330D0" w:rsidP="000330D0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>Praca własna studenta:</w:t>
            </w:r>
          </w:p>
          <w:p w:rsidR="000330D0" w:rsidRPr="001170FF" w:rsidRDefault="000330D0" w:rsidP="000330D0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studiowanie</w:t>
            </w:r>
            <w:r w:rsidRPr="001170FF">
              <w:rPr>
                <w:rFonts w:ascii="Arial" w:eastAsia="Times New Roman" w:hAnsi="Arial" w:cs="Arial"/>
                <w:lang w:eastAsia="pl-PL"/>
              </w:rPr>
              <w:t xml:space="preserve"> zadanych wybranych fragmentów literatury -15 h;</w:t>
            </w:r>
          </w:p>
          <w:p w:rsidR="000330D0" w:rsidRPr="001170FF" w:rsidRDefault="000330D0" w:rsidP="000330D0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materiałów na wykłady -10 h; </w:t>
            </w:r>
          </w:p>
          <w:p w:rsidR="000330D0" w:rsidRPr="001170FF" w:rsidRDefault="000330D0" w:rsidP="000330D0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materiałów na ćwiczenia -10 h; </w:t>
            </w:r>
          </w:p>
          <w:p w:rsidR="000330D0" w:rsidRPr="001170FF" w:rsidRDefault="000330D0" w:rsidP="000330D0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przygotowanie do kolokwium - </w:t>
            </w:r>
            <w:r w:rsidRPr="001170FF">
              <w:rPr>
                <w:rFonts w:ascii="Arial" w:eastAsia="Times New Roman" w:hAnsi="Arial" w:cs="Arial"/>
                <w:lang w:eastAsia="pl-PL"/>
              </w:rPr>
              <w:t>5 h;</w:t>
            </w:r>
          </w:p>
          <w:p w:rsidR="000330D0" w:rsidRPr="001170FF" w:rsidRDefault="000330D0" w:rsidP="000330D0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do egzaminu </w:t>
            </w: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Pr="001170FF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1170F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170FF">
              <w:rPr>
                <w:rFonts w:ascii="Arial" w:eastAsia="Times New Roman" w:hAnsi="Arial" w:cs="Arial"/>
                <w:lang w:eastAsia="pl-PL"/>
              </w:rPr>
              <w:br/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>Łączna liczba godzin: 100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170FF">
              <w:rPr>
                <w:rFonts w:ascii="Arial" w:hAnsi="Arial" w:cs="Arial"/>
              </w:rPr>
              <w:t>Punkty ECTS: 4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330D0" w:rsidRPr="001170FF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170FF">
              <w:rPr>
                <w:rFonts w:ascii="Arial" w:hAnsi="Arial" w:cs="Arial"/>
                <w:b/>
                <w:color w:val="000000"/>
              </w:rPr>
              <w:t>Studia niestacjonarne</w:t>
            </w:r>
          </w:p>
          <w:p w:rsidR="000330D0" w:rsidRPr="001170FF" w:rsidRDefault="000330D0" w:rsidP="000330D0">
            <w:pPr>
              <w:numPr>
                <w:ilvl w:val="1"/>
                <w:numId w:val="4"/>
              </w:numPr>
              <w:tabs>
                <w:tab w:val="left" w:pos="184"/>
                <w:tab w:val="left" w:pos="364"/>
              </w:tabs>
              <w:spacing w:after="0" w:line="240" w:lineRule="auto"/>
              <w:ind w:left="1264" w:hanging="1260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 xml:space="preserve">Godziny kontaktowe: </w:t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 15</w:t>
            </w:r>
            <w:r w:rsidRPr="001170FF">
              <w:rPr>
                <w:rFonts w:ascii="Arial" w:hAnsi="Arial" w:cs="Arial"/>
              </w:rPr>
              <w:t xml:space="preserve"> h wykładów;</w:t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- 10 h ćwiczeń;</w:t>
            </w: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 5</w:t>
            </w:r>
            <w:r w:rsidRPr="001170FF">
              <w:rPr>
                <w:rFonts w:ascii="Arial" w:hAnsi="Arial" w:cs="Arial"/>
              </w:rPr>
              <w:t xml:space="preserve"> h konsultacji</w:t>
            </w:r>
            <w:r>
              <w:rPr>
                <w:rFonts w:ascii="Arial" w:hAnsi="Arial" w:cs="Arial"/>
              </w:rPr>
              <w:t>.</w:t>
            </w:r>
          </w:p>
          <w:p w:rsidR="000330D0" w:rsidRPr="001170FF" w:rsidRDefault="000330D0" w:rsidP="000330D0">
            <w:pPr>
              <w:numPr>
                <w:ilvl w:val="1"/>
                <w:numId w:val="4"/>
              </w:numPr>
              <w:tabs>
                <w:tab w:val="left" w:pos="364"/>
              </w:tabs>
              <w:spacing w:after="0" w:line="240" w:lineRule="auto"/>
              <w:ind w:left="1444" w:hanging="1436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>Praca własna studenta:</w:t>
            </w:r>
          </w:p>
          <w:p w:rsidR="000330D0" w:rsidRPr="001170FF" w:rsidRDefault="000330D0" w:rsidP="000330D0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studiowanie </w:t>
            </w:r>
            <w:r w:rsidRPr="001170FF">
              <w:rPr>
                <w:rFonts w:ascii="Arial" w:eastAsia="Times New Roman" w:hAnsi="Arial" w:cs="Arial"/>
                <w:lang w:eastAsia="pl-PL"/>
              </w:rPr>
              <w:t xml:space="preserve"> zadanych wybranych fragmentów literatury - 20h;</w:t>
            </w:r>
          </w:p>
          <w:p w:rsidR="000330D0" w:rsidRPr="001170FF" w:rsidRDefault="000330D0" w:rsidP="000330D0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materiałów na wykłady - 10h; </w:t>
            </w:r>
          </w:p>
          <w:p w:rsidR="000330D0" w:rsidRPr="001170FF" w:rsidRDefault="000330D0" w:rsidP="000330D0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materiałów na ćwiczenia - 20h; </w:t>
            </w:r>
          </w:p>
          <w:p w:rsidR="000330D0" w:rsidRPr="001170FF" w:rsidRDefault="000330D0" w:rsidP="000330D0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do kolokwium -10 h; </w:t>
            </w:r>
          </w:p>
          <w:p w:rsidR="000330D0" w:rsidRPr="001170FF" w:rsidRDefault="000330D0" w:rsidP="000330D0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Arial" w:eastAsia="Times New Roman" w:hAnsi="Arial" w:cs="Arial"/>
                <w:lang w:eastAsia="pl-PL"/>
              </w:rPr>
            </w:pPr>
            <w:r w:rsidRPr="001170FF">
              <w:rPr>
                <w:rFonts w:ascii="Arial" w:eastAsia="Times New Roman" w:hAnsi="Arial" w:cs="Arial"/>
                <w:lang w:eastAsia="pl-PL"/>
              </w:rPr>
              <w:t xml:space="preserve">przygotowanie do egzaminu </w:t>
            </w: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Pr="001170FF">
              <w:rPr>
                <w:rFonts w:ascii="Arial" w:eastAsia="Times New Roman" w:hAnsi="Arial" w:cs="Arial"/>
                <w:lang w:eastAsia="pl-PL"/>
              </w:rPr>
              <w:t>10 h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0330D0" w:rsidRPr="001170FF" w:rsidRDefault="000330D0" w:rsidP="00555933">
            <w:pPr>
              <w:spacing w:after="0" w:line="240" w:lineRule="auto"/>
              <w:ind w:left="454"/>
              <w:rPr>
                <w:rFonts w:ascii="Arial" w:hAnsi="Arial" w:cs="Arial"/>
              </w:rPr>
            </w:pPr>
          </w:p>
          <w:p w:rsidR="000330D0" w:rsidRPr="001170FF" w:rsidRDefault="000330D0" w:rsidP="00555933">
            <w:pPr>
              <w:spacing w:after="0" w:line="240" w:lineRule="auto"/>
              <w:rPr>
                <w:rFonts w:ascii="Arial" w:hAnsi="Arial" w:cs="Arial"/>
              </w:rPr>
            </w:pPr>
            <w:r w:rsidRPr="001170FF">
              <w:rPr>
                <w:rFonts w:ascii="Arial" w:hAnsi="Arial" w:cs="Arial"/>
              </w:rPr>
              <w:t>Łączna liczba godzin: 100</w:t>
            </w:r>
          </w:p>
          <w:p w:rsidR="000330D0" w:rsidRPr="007A2C94" w:rsidRDefault="000330D0" w:rsidP="005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170FF">
              <w:rPr>
                <w:rFonts w:ascii="Arial" w:hAnsi="Arial" w:cs="Arial"/>
              </w:rPr>
              <w:t>Punkty ECTS: 4</w:t>
            </w:r>
          </w:p>
        </w:tc>
      </w:tr>
    </w:tbl>
    <w:p w:rsidR="000330D0" w:rsidRDefault="000330D0" w:rsidP="000330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rozpisać na studia stacjonarne i niestacjonarne</w:t>
      </w:r>
    </w:p>
    <w:p w:rsidR="00AA2364" w:rsidRDefault="00AA2364" w:rsidP="004148F8">
      <w:pPr>
        <w:spacing w:after="0"/>
      </w:pPr>
    </w:p>
    <w:sectPr w:rsidR="00AA2364" w:rsidSect="00AA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94F"/>
    <w:multiLevelType w:val="hybridMultilevel"/>
    <w:tmpl w:val="7320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6D7C"/>
    <w:multiLevelType w:val="hybridMultilevel"/>
    <w:tmpl w:val="DE7CF952"/>
    <w:lvl w:ilvl="0" w:tplc="0FE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B25AD"/>
    <w:multiLevelType w:val="hybridMultilevel"/>
    <w:tmpl w:val="5AA24FB8"/>
    <w:lvl w:ilvl="0" w:tplc="9620F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124C2"/>
    <w:multiLevelType w:val="hybridMultilevel"/>
    <w:tmpl w:val="AD5A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46B5"/>
    <w:multiLevelType w:val="hybridMultilevel"/>
    <w:tmpl w:val="12E6706A"/>
    <w:lvl w:ilvl="0" w:tplc="4CAA7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D0"/>
    <w:rsid w:val="000330D0"/>
    <w:rsid w:val="000E55F3"/>
    <w:rsid w:val="004148F8"/>
    <w:rsid w:val="00555933"/>
    <w:rsid w:val="005A45E1"/>
    <w:rsid w:val="0062095E"/>
    <w:rsid w:val="006809C4"/>
    <w:rsid w:val="00691E76"/>
    <w:rsid w:val="00AA2364"/>
    <w:rsid w:val="00B972DF"/>
    <w:rsid w:val="00E37014"/>
    <w:rsid w:val="00E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121CD-7111-4637-89CE-02CE9E5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0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30D0"/>
    <w:rPr>
      <w:rFonts w:eastAsia="Times New Roman"/>
      <w:sz w:val="22"/>
      <w:szCs w:val="22"/>
    </w:rPr>
  </w:style>
  <w:style w:type="paragraph" w:styleId="Lista">
    <w:name w:val="List"/>
    <w:basedOn w:val="Normalny"/>
    <w:rsid w:val="000330D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30D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330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0330D0"/>
  </w:style>
  <w:style w:type="paragraph" w:styleId="NormalnyWeb">
    <w:name w:val="Normal (Web)"/>
    <w:basedOn w:val="Normalny"/>
    <w:uiPriority w:val="99"/>
    <w:unhideWhenUsed/>
    <w:rsid w:val="0003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PCzernicki</dc:creator>
  <cp:keywords/>
  <cp:lastModifiedBy>Pracownik</cp:lastModifiedBy>
  <cp:revision>2</cp:revision>
  <dcterms:created xsi:type="dcterms:W3CDTF">2018-11-26T09:32:00Z</dcterms:created>
  <dcterms:modified xsi:type="dcterms:W3CDTF">2018-11-26T09:32:00Z</dcterms:modified>
</cp:coreProperties>
</file>