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CA345A" w:rsidRPr="00B51897" w:rsidTr="00B51897">
        <w:trPr>
          <w:trHeight w:val="509"/>
          <w:jc w:val="center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bookmarkStart w:id="0" w:name="_GoBack"/>
            <w:r w:rsidRPr="00B51897">
              <w:rPr>
                <w:rFonts w:ascii="Times New Roman" w:hAnsi="Times New Roman"/>
              </w:rPr>
              <w:br w:type="page"/>
            </w:r>
            <w:r w:rsidRPr="00B51897">
              <w:rPr>
                <w:rFonts w:ascii="Times New Roman" w:hAnsi="Times New Roman"/>
                <w:b/>
                <w:bCs/>
                <w:color w:val="000000"/>
              </w:rPr>
              <w:t>Sylabus przedmiotu / modułu kształcenia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Nazwa przedmiotu/modułu kształcenia:</w:t>
            </w:r>
            <w:r w:rsidRPr="00B5189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CA345A" w:rsidRPr="00B51897" w:rsidRDefault="00CA345A" w:rsidP="009E2C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51897">
              <w:rPr>
                <w:rFonts w:ascii="Times New Roman" w:hAnsi="Times New Roman"/>
                <w:color w:val="000000"/>
              </w:rPr>
              <w:t>Zarządzanie rozwojem regionalnym i lokalnym</w:t>
            </w:r>
          </w:p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B51897">
              <w:rPr>
                <w:rFonts w:ascii="Times New Roman" w:hAnsi="Times New Roman"/>
                <w:b/>
                <w:color w:val="000000"/>
                <w:lang w:val="en-US"/>
              </w:rPr>
              <w:t>Nazwa</w:t>
            </w:r>
            <w:proofErr w:type="spellEnd"/>
            <w:r w:rsidRPr="00B51897">
              <w:rPr>
                <w:rFonts w:ascii="Times New Roman" w:hAnsi="Times New Roman"/>
                <w:b/>
                <w:color w:val="000000"/>
                <w:lang w:val="en-US"/>
              </w:rPr>
              <w:t xml:space="preserve"> w </w:t>
            </w:r>
            <w:proofErr w:type="spellStart"/>
            <w:r w:rsidRPr="00B51897">
              <w:rPr>
                <w:rFonts w:ascii="Times New Roman" w:hAnsi="Times New Roman"/>
                <w:b/>
                <w:color w:val="000000"/>
                <w:lang w:val="en-US"/>
              </w:rPr>
              <w:t>języku</w:t>
            </w:r>
            <w:proofErr w:type="spellEnd"/>
            <w:r w:rsidRPr="00B51897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B51897">
              <w:rPr>
                <w:rFonts w:ascii="Times New Roman" w:hAnsi="Times New Roman"/>
                <w:b/>
                <w:color w:val="000000"/>
                <w:lang w:val="en-US"/>
              </w:rPr>
              <w:t>angielskim</w:t>
            </w:r>
            <w:proofErr w:type="spellEnd"/>
            <w:r w:rsidRPr="00B51897">
              <w:rPr>
                <w:rFonts w:ascii="Times New Roman" w:hAnsi="Times New Roman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B51897">
              <w:rPr>
                <w:rFonts w:ascii="Times New Roman" w:hAnsi="Times New Roman"/>
                <w:lang w:val="en-US"/>
              </w:rPr>
              <w:t xml:space="preserve">Management of regional and local development 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Język wykładowy:</w:t>
            </w:r>
            <w:r w:rsidRPr="00B5189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>Język polski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>Administracja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 xml:space="preserve"> Wydział Nauk Ekonomicznych i Prawnych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>fakultatywny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>drugiego stopnia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 xml:space="preserve"> II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B51897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2D4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 xml:space="preserve">Dr </w:t>
            </w:r>
            <w:r w:rsidR="002D4C7C" w:rsidRPr="00B51897">
              <w:rPr>
                <w:rFonts w:ascii="Times New Roman" w:hAnsi="Times New Roman"/>
                <w:color w:val="000000"/>
              </w:rPr>
              <w:t>Monika Niedziółka</w:t>
            </w:r>
            <w:r w:rsidRPr="00B51897">
              <w:rPr>
                <w:rFonts w:ascii="Times New Roman" w:hAnsi="Times New Roman"/>
              </w:rPr>
              <w:t> 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</w:rPr>
              <w:t>Dr Monika Niedziółka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Cs/>
              </w:rPr>
              <w:t>Rozumienie zasad, warunków i możliwości zarządzania rozwojem regionów i jednostek lokalnych w Polsce i w Unii Europejskiej, umiejętność definiowania podstawowych pojęć dotyczących wspierania rozwoju regionalnego i lokalnego oraz polityki regionalnej.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Symbol efektu kierunkowego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A345A" w:rsidRPr="00B51897" w:rsidTr="00B51897">
        <w:trPr>
          <w:trHeight w:val="290"/>
          <w:jc w:val="center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pStyle w:val="Default"/>
              <w:rPr>
                <w:sz w:val="22"/>
                <w:szCs w:val="22"/>
              </w:rPr>
            </w:pPr>
            <w:r w:rsidRPr="00B51897">
              <w:rPr>
                <w:sz w:val="22"/>
                <w:szCs w:val="22"/>
              </w:rPr>
              <w:t>Posiada wiedzę dotyczącą  uwarunkowań oraz możliwości zarządzania rozwojem regionalnym i lokalnym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ZPW_03</w:t>
            </w:r>
          </w:p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ZPW_05</w:t>
            </w:r>
          </w:p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ZPW_06</w:t>
            </w:r>
          </w:p>
        </w:tc>
      </w:tr>
      <w:tr w:rsidR="00CA345A" w:rsidRPr="00B51897" w:rsidTr="00B51897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 xml:space="preserve">Definiuje i klasyfikuje stosowane w zarządzaniu instrumenty oraz metody.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</w:rPr>
              <w:t>ZPW_06</w:t>
            </w:r>
          </w:p>
        </w:tc>
      </w:tr>
      <w:tr w:rsidR="00CA345A" w:rsidRPr="00B51897" w:rsidTr="00B51897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pStyle w:val="Stopka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51897">
              <w:rPr>
                <w:rFonts w:ascii="Times New Roman" w:hAnsi="Times New Roman"/>
              </w:rPr>
              <w:t xml:space="preserve">Posiada wiedzę na temat </w:t>
            </w:r>
            <w:r w:rsidRPr="00B51897">
              <w:rPr>
                <w:rFonts w:ascii="Times New Roman" w:hAnsi="Times New Roman"/>
                <w:lang w:val="pl-PL"/>
              </w:rPr>
              <w:t>podmiotów uczestniczących w procesach zarządzania rozwojem różnej wielkości regionów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</w:rPr>
              <w:t>ZPW_03</w:t>
            </w:r>
          </w:p>
        </w:tc>
      </w:tr>
      <w:tr w:rsidR="00CA345A" w:rsidRPr="00B51897" w:rsidTr="00B51897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W_04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pStyle w:val="Stopka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51897">
              <w:rPr>
                <w:rFonts w:ascii="Times New Roman" w:hAnsi="Times New Roman"/>
                <w:lang w:val="pl-PL"/>
              </w:rPr>
              <w:t>Zna możliwości finansowania rozwoju regionów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ZPW_06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51897">
              <w:rPr>
                <w:rFonts w:ascii="Times New Roman" w:eastAsia="Times New Roman" w:hAnsi="Times New Roman"/>
                <w:b/>
                <w:bCs/>
                <w:lang w:eastAsia="pl-PL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A345A" w:rsidRPr="00B51897" w:rsidTr="00B51897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pStyle w:val="Default"/>
              <w:rPr>
                <w:sz w:val="22"/>
                <w:szCs w:val="22"/>
              </w:rPr>
            </w:pPr>
            <w:r w:rsidRPr="00B51897">
              <w:rPr>
                <w:sz w:val="22"/>
                <w:szCs w:val="22"/>
              </w:rPr>
              <w:t>Posiada umiejętność kreatywnego myślenia i przekazywania zdobytej wiedzy na różnych poziomach zarządzania jednostkami przestrzennymi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>ZPU_03</w:t>
            </w:r>
          </w:p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>ZPU_05</w:t>
            </w:r>
          </w:p>
        </w:tc>
      </w:tr>
      <w:tr w:rsidR="00CA345A" w:rsidRPr="00B51897" w:rsidTr="00B51897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Posiada praktyczne umiejętności wykorzystania wiedzy o zarządzaniu dla innowacyjnego rozwoju regionów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ZPU_02</w:t>
            </w:r>
          </w:p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</w:rPr>
              <w:t>ZPU_05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A345A" w:rsidRPr="00B51897" w:rsidTr="00B51897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Ma świadomość zachodzących  zmian w sposobie funkcjonowania jednostek przestrzennych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>ZPK_01</w:t>
            </w:r>
          </w:p>
        </w:tc>
      </w:tr>
      <w:tr w:rsidR="00CA345A" w:rsidRPr="00B51897" w:rsidTr="00B51897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 xml:space="preserve"> Jest przygotowany pod względem kompetencyjnym do zarządzania rozwojem regionalnym i lokalnym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</w:rPr>
              <w:t>ZPK_03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 xml:space="preserve"> Wykład, ćwiczenia audytoryjne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</w:rPr>
              <w:lastRenderedPageBreak/>
              <w:br w:type="page"/>
            </w:r>
            <w:r w:rsidRPr="00B51897">
              <w:rPr>
                <w:rFonts w:ascii="Times New Roman" w:hAnsi="Times New Roman"/>
                <w:b/>
                <w:color w:val="000000"/>
              </w:rPr>
              <w:t>Wymagania wstępne i dodatkowe:</w:t>
            </w:r>
          </w:p>
        </w:tc>
      </w:tr>
      <w:tr w:rsidR="00CA345A" w:rsidRPr="00B51897" w:rsidTr="00B51897">
        <w:trPr>
          <w:trHeight w:val="320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51897">
              <w:rPr>
                <w:rFonts w:ascii="Times New Roman" w:hAnsi="Times New Roman"/>
                <w:color w:val="000000"/>
              </w:rPr>
              <w:t>Znajomość podstawowych pojęć z zakresu ekonomii, organizacji  i zarządzania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Treści modułu kształcenia:</w:t>
            </w:r>
          </w:p>
        </w:tc>
      </w:tr>
      <w:tr w:rsidR="00CA345A" w:rsidRPr="00B51897" w:rsidTr="00B51897">
        <w:trPr>
          <w:trHeight w:val="3291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45A" w:rsidRPr="00B51897" w:rsidRDefault="00CA345A" w:rsidP="009E2C8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51897">
              <w:rPr>
                <w:rFonts w:ascii="Times New Roman" w:eastAsia="Times New Roman" w:hAnsi="Times New Roman"/>
                <w:lang w:eastAsia="pl-PL"/>
              </w:rPr>
              <w:t>1. Zagadnienia dotyczące polityki regionalnej i lokalnej Polski i UE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51897">
              <w:rPr>
                <w:rFonts w:ascii="Times New Roman" w:eastAsia="Times New Roman" w:hAnsi="Times New Roman"/>
                <w:lang w:eastAsia="pl-PL"/>
              </w:rPr>
              <w:t>2. Rozwój lokalny i regionalny w polityce UE.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51897">
              <w:rPr>
                <w:rFonts w:ascii="Times New Roman" w:eastAsia="Times New Roman" w:hAnsi="Times New Roman"/>
                <w:lang w:eastAsia="pl-PL"/>
              </w:rPr>
              <w:t>3. Region, powiat, gmina jako system ekonomiczno-przestrzenny.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51897">
              <w:rPr>
                <w:rFonts w:ascii="Times New Roman" w:eastAsia="Times New Roman" w:hAnsi="Times New Roman"/>
                <w:lang w:eastAsia="pl-PL"/>
              </w:rPr>
              <w:t>4. Programowanie rozwoju terytorialnego ( lokalnego, regionalnego ).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51897">
              <w:rPr>
                <w:rFonts w:ascii="Times New Roman" w:eastAsia="Times New Roman" w:hAnsi="Times New Roman"/>
                <w:lang w:eastAsia="pl-PL"/>
              </w:rPr>
              <w:t>5. Rola województwa samorządowego w polskiej polityce rozwoju terytorialnego.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51897">
              <w:rPr>
                <w:rFonts w:ascii="Times New Roman" w:eastAsia="Times New Roman" w:hAnsi="Times New Roman"/>
                <w:lang w:eastAsia="pl-PL"/>
              </w:rPr>
              <w:t>5. Społeczny wymiar rozwoju terytorialnego.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51897">
              <w:rPr>
                <w:rFonts w:ascii="Times New Roman" w:eastAsia="Times New Roman" w:hAnsi="Times New Roman"/>
                <w:lang w:eastAsia="pl-PL"/>
              </w:rPr>
              <w:t>7. Strategiczne zarządzanie rozwojem regionalnym i lokalnym 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B51897">
              <w:rPr>
                <w:rFonts w:ascii="Times New Roman" w:eastAsia="Times New Roman" w:hAnsi="Times New Roman"/>
                <w:lang w:eastAsia="pl-PL"/>
              </w:rPr>
              <w:t>8. Finansowanie rozwoju regionalnego i lokalnego</w:t>
            </w:r>
          </w:p>
          <w:p w:rsidR="00CA345A" w:rsidRPr="00B51897" w:rsidRDefault="00CA345A" w:rsidP="009E2C8E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51897">
              <w:rPr>
                <w:rFonts w:ascii="Times New Roman" w:eastAsia="Times New Roman" w:hAnsi="Times New Roman"/>
                <w:lang w:eastAsia="pl-PL"/>
              </w:rPr>
              <w:t>9. Bezpieczny ekonomicznie rozwój regionów i jednostek lokalnych</w:t>
            </w:r>
          </w:p>
          <w:p w:rsidR="00CA345A" w:rsidRPr="00B51897" w:rsidRDefault="00CA345A" w:rsidP="009E2C8E">
            <w:pPr>
              <w:pStyle w:val="Akapitzlist"/>
              <w:ind w:left="0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B51897">
              <w:rPr>
                <w:rFonts w:ascii="Times New Roman" w:eastAsia="Times New Roman" w:hAnsi="Times New Roman"/>
                <w:lang w:eastAsia="pl-PL"/>
              </w:rPr>
              <w:t>10. Gmina jako podmiot zarządzania rozwojem lokalnym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Literatura podstawowa:</w:t>
            </w:r>
          </w:p>
        </w:tc>
      </w:tr>
      <w:tr w:rsidR="00CA345A" w:rsidRPr="00B51897" w:rsidTr="00B51897">
        <w:trPr>
          <w:trHeight w:val="506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51897">
              <w:rPr>
                <w:rFonts w:ascii="Times New Roman" w:hAnsi="Times New Roman"/>
                <w:bCs/>
              </w:rPr>
              <w:t xml:space="preserve">1. </w:t>
            </w:r>
            <w:proofErr w:type="spellStart"/>
            <w:r w:rsidRPr="00B51897">
              <w:rPr>
                <w:rFonts w:ascii="Times New Roman" w:hAnsi="Times New Roman"/>
                <w:bCs/>
              </w:rPr>
              <w:t>Z.Strzelecki</w:t>
            </w:r>
            <w:proofErr w:type="spellEnd"/>
            <w:r w:rsidRPr="00B51897">
              <w:rPr>
                <w:rFonts w:ascii="Times New Roman" w:hAnsi="Times New Roman"/>
                <w:bCs/>
              </w:rPr>
              <w:t xml:space="preserve"> (red.), Gospodarka regionalna Polski wobec globalnego kryzysu gospodarczego, Oficyna Wydawnicza SGH, Warszawa, 2011</w:t>
            </w:r>
          </w:p>
          <w:p w:rsidR="00CA345A" w:rsidRPr="00B51897" w:rsidRDefault="00CA345A" w:rsidP="009E2C8E">
            <w:pPr>
              <w:spacing w:after="0" w:line="240" w:lineRule="auto"/>
              <w:ind w:left="720"/>
              <w:rPr>
                <w:rFonts w:ascii="Times New Roman" w:hAnsi="Times New Roman"/>
                <w:bCs/>
              </w:rPr>
            </w:pP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Literatura dodatkowa:</w:t>
            </w:r>
          </w:p>
        </w:tc>
      </w:tr>
      <w:tr w:rsidR="00CA345A" w:rsidRPr="00B51897" w:rsidTr="00B51897">
        <w:trPr>
          <w:trHeight w:val="427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45A" w:rsidRPr="00B51897" w:rsidRDefault="00CA345A" w:rsidP="009E2C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897">
              <w:rPr>
                <w:rFonts w:ascii="Times New Roman" w:hAnsi="Times New Roman"/>
                <w:bCs/>
              </w:rPr>
              <w:t xml:space="preserve">1. </w:t>
            </w:r>
            <w:proofErr w:type="spellStart"/>
            <w:r w:rsidRPr="00B51897">
              <w:rPr>
                <w:rFonts w:ascii="Times New Roman" w:hAnsi="Times New Roman"/>
                <w:bCs/>
              </w:rPr>
              <w:t>K.Kuciński</w:t>
            </w:r>
            <w:proofErr w:type="spellEnd"/>
            <w:r w:rsidRPr="00B51897">
              <w:rPr>
                <w:rFonts w:ascii="Times New Roman" w:hAnsi="Times New Roman"/>
                <w:bCs/>
              </w:rPr>
              <w:t xml:space="preserve"> (red.),  Lokalizacja ekonomicznie bezpieczna, </w:t>
            </w:r>
            <w:proofErr w:type="spellStart"/>
            <w:r w:rsidRPr="00B51897">
              <w:rPr>
                <w:rFonts w:ascii="Times New Roman" w:hAnsi="Times New Roman"/>
                <w:bCs/>
              </w:rPr>
              <w:t>CeDeWu</w:t>
            </w:r>
            <w:proofErr w:type="spellEnd"/>
            <w:r w:rsidRPr="00B51897">
              <w:rPr>
                <w:rFonts w:ascii="Times New Roman" w:hAnsi="Times New Roman"/>
                <w:bCs/>
              </w:rPr>
              <w:t>, Warszawa, 2017</w:t>
            </w:r>
          </w:p>
          <w:p w:rsidR="00CA345A" w:rsidRPr="00B51897" w:rsidRDefault="00CA345A" w:rsidP="009E2C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51897">
              <w:rPr>
                <w:rFonts w:ascii="Times New Roman" w:hAnsi="Times New Roman"/>
                <w:bCs/>
              </w:rPr>
              <w:t xml:space="preserve">2. K. Kuciński (red.), Przedsiębiorczość a rozwój regionalny, </w:t>
            </w:r>
            <w:proofErr w:type="spellStart"/>
            <w:r w:rsidRPr="00B51897">
              <w:rPr>
                <w:rFonts w:ascii="Times New Roman" w:hAnsi="Times New Roman"/>
                <w:bCs/>
              </w:rPr>
              <w:t>Difin</w:t>
            </w:r>
            <w:proofErr w:type="spellEnd"/>
            <w:r w:rsidRPr="00B51897">
              <w:rPr>
                <w:rFonts w:ascii="Times New Roman" w:hAnsi="Times New Roman"/>
                <w:bCs/>
              </w:rPr>
              <w:t>, Warszawa, 2010.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Planowane formy/działania/metody dydaktyczne:</w:t>
            </w:r>
          </w:p>
        </w:tc>
      </w:tr>
      <w:tr w:rsidR="00CA345A" w:rsidRPr="00B51897" w:rsidTr="00B51897">
        <w:trPr>
          <w:trHeight w:val="352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Wykład monograficzny, wykład z elementami dyskusji, dyskusja, analiza dokumentów źródłowych, prezentacje multimedialne, prace pisemne (eseje), praca w zespołach; 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dyskusja dydaktyczna podczas ćwiczeń połączona z prezentacjami ustnymi z wykorzystaniem multimediów.  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51897">
              <w:rPr>
                <w:rFonts w:ascii="Times New Roman" w:hAnsi="Times New Roman"/>
                <w:b/>
                <w:bCs/>
              </w:rPr>
              <w:t>Sposoby weryfikacji określonych efektów kształcenia osiąganych przez studenta: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0433" w:type="dxa"/>
            <w:gridSpan w:val="1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45A" w:rsidRPr="00B51897" w:rsidRDefault="00CA345A" w:rsidP="009E2C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Wykład – egzamin</w:t>
            </w:r>
          </w:p>
          <w:p w:rsidR="00CA345A" w:rsidRPr="00B51897" w:rsidRDefault="00CA345A" w:rsidP="009E2C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Ćwiczenia – zaliczenie bez oceny</w:t>
            </w:r>
          </w:p>
          <w:p w:rsidR="00CA345A" w:rsidRPr="00B51897" w:rsidRDefault="00CA345A" w:rsidP="009E2C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Weryfikacja efektów w zakresie umiejętności i kompetencji społecznych następuje w trakcie ćwiczeń, natomiast weryfikacja efektów w zakresie wiedzy – w trakcie egzaminu pisemnego.  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Forma i warunki zaliczenia:</w:t>
            </w:r>
          </w:p>
        </w:tc>
      </w:tr>
      <w:tr w:rsidR="00CA345A" w:rsidRPr="00B51897" w:rsidTr="00B51897">
        <w:trPr>
          <w:trHeight w:val="1071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C9C" w:rsidRPr="00B51897" w:rsidRDefault="00C31C9C" w:rsidP="00C31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Wykład: egzamin</w:t>
            </w:r>
          </w:p>
          <w:p w:rsidR="00C31C9C" w:rsidRPr="00B51897" w:rsidRDefault="00C31C9C" w:rsidP="00C31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Ćwiczenia: zaliczenie bez oceny, aktywność przeliczana na ocenę.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 xml:space="preserve">Studenci uzyskają zaliczenie z ćwiczeń na podstawie ich pracy w ciągu całego semestru. </w:t>
            </w:r>
            <w:r w:rsidRPr="00B51897">
              <w:rPr>
                <w:rFonts w:ascii="Times New Roman" w:hAnsi="Times New Roman"/>
              </w:rPr>
              <w:br/>
              <w:t>Brane są pod uwagę:</w:t>
            </w:r>
          </w:p>
          <w:p w:rsidR="00CA345A" w:rsidRPr="00B51897" w:rsidRDefault="00CA345A" w:rsidP="009E2C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 xml:space="preserve">- aktywność podczas ćwiczeń </w:t>
            </w:r>
          </w:p>
          <w:p w:rsidR="00CA345A" w:rsidRPr="00B51897" w:rsidRDefault="00CA345A" w:rsidP="009E2C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- przegotowanie do ćwiczeń</w:t>
            </w:r>
          </w:p>
          <w:p w:rsidR="00CA345A" w:rsidRPr="00B51897" w:rsidRDefault="00CA345A" w:rsidP="009E2C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- prace domowe</w:t>
            </w:r>
          </w:p>
          <w:p w:rsidR="00CA345A" w:rsidRPr="00B51897" w:rsidRDefault="00CA345A" w:rsidP="009E2C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- testy, kazusy oraz zadanie opracowywane samodzielnie podczas ćwiczeń</w:t>
            </w:r>
          </w:p>
          <w:p w:rsidR="00CA345A" w:rsidRPr="00B51897" w:rsidRDefault="00CA345A" w:rsidP="009E2C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1C9C" w:rsidRPr="00B51897" w:rsidRDefault="00C31C9C" w:rsidP="00C31C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C31C9C" w:rsidRPr="00B51897" w:rsidRDefault="00C31C9C" w:rsidP="00C31C9C">
            <w:pPr>
              <w:pStyle w:val="Bezodstpw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 xml:space="preserve">Podstawą zaliczenia ćwiczeń jest uzyskanie odpowiedniej ilości plusów za aktywność (na studiach stacjonarnych pięć plusów, na studiach niestacjonarnych pięć plusów). </w:t>
            </w:r>
          </w:p>
          <w:p w:rsidR="00C31C9C" w:rsidRPr="00B51897" w:rsidRDefault="00C31C9C" w:rsidP="00C31C9C">
            <w:pPr>
              <w:pStyle w:val="Bezodstpw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5-6 plusów ocena dostateczna</w:t>
            </w:r>
          </w:p>
          <w:p w:rsidR="00C31C9C" w:rsidRPr="00B51897" w:rsidRDefault="00C31C9C" w:rsidP="00C31C9C">
            <w:pPr>
              <w:pStyle w:val="Bezodstpw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lastRenderedPageBreak/>
              <w:t>7-8 plusów ocena dostateczna plus</w:t>
            </w:r>
          </w:p>
          <w:p w:rsidR="00C31C9C" w:rsidRPr="00B51897" w:rsidRDefault="00C31C9C" w:rsidP="00C31C9C">
            <w:pPr>
              <w:pStyle w:val="Bezodstpw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9-10 plusów ocena dobra</w:t>
            </w:r>
          </w:p>
          <w:p w:rsidR="00C31C9C" w:rsidRPr="00B51897" w:rsidRDefault="00C31C9C" w:rsidP="00C31C9C">
            <w:pPr>
              <w:pStyle w:val="Bezodstpw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11-12 plusów ocena dobra plus</w:t>
            </w:r>
          </w:p>
          <w:p w:rsidR="00C31C9C" w:rsidRPr="00B51897" w:rsidRDefault="00C31C9C" w:rsidP="00C31C9C">
            <w:pPr>
              <w:pStyle w:val="Bezodstpw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13 i więcej plusów ocena bardzo dobra</w:t>
            </w:r>
          </w:p>
          <w:p w:rsidR="00C31C9C" w:rsidRPr="00B51897" w:rsidRDefault="00C31C9C" w:rsidP="00C31C9C">
            <w:pPr>
              <w:pStyle w:val="Bezodstpw"/>
              <w:rPr>
                <w:rFonts w:ascii="Times New Roman" w:hAnsi="Times New Roman"/>
              </w:rPr>
            </w:pPr>
          </w:p>
          <w:p w:rsidR="00C31C9C" w:rsidRPr="00B51897" w:rsidRDefault="00C31C9C" w:rsidP="00C31C9C">
            <w:pPr>
              <w:pStyle w:val="Bezodstpw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 xml:space="preserve">Każda większa ilość plusów wpływa na podwyższenie oceny. Plusy są przeliczane na ocenę. </w:t>
            </w:r>
          </w:p>
          <w:p w:rsidR="00C31C9C" w:rsidRPr="00B51897" w:rsidRDefault="00C31C9C" w:rsidP="00C31C9C">
            <w:pPr>
              <w:pStyle w:val="Bezodstpw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Student otrzymuje propozycję oceny na podstawie pracy na ćwiczeniach i aktywności na wykładach. Studenci którzy nie wypracują przez cały semestr oceny przynajmniej dostatecznej oraz ci, którzy wypracowaną w ciągu semestru ocenę chcą podwyższyć przystępują do egzaminu.  Wówczas na ocenę końcową z przedmiotu (wpisywaną do systemu USOS Web) w 50% wpływa wynik egzaminu oraz w 50% - ogólną ocenę z ćwiczeń.</w:t>
            </w:r>
          </w:p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lastRenderedPageBreak/>
              <w:t>Bilans punktów ECTS:</w:t>
            </w:r>
          </w:p>
        </w:tc>
      </w:tr>
      <w:tr w:rsidR="00CA345A" w:rsidRPr="00B51897" w:rsidTr="00B51897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Studia stacjonarne</w:t>
            </w:r>
          </w:p>
          <w:p w:rsidR="00CA345A" w:rsidRPr="00B51897" w:rsidRDefault="00CA345A" w:rsidP="00CA34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 xml:space="preserve">Godziny kontaktowe: 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- 15 h wykładów;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- 15 h ćwiczeń;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- 15 h konsultacje.</w:t>
            </w:r>
          </w:p>
          <w:p w:rsidR="00CA345A" w:rsidRPr="00B51897" w:rsidRDefault="00CA345A" w:rsidP="00CA345A">
            <w:pPr>
              <w:numPr>
                <w:ilvl w:val="0"/>
                <w:numId w:val="1"/>
              </w:numPr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Praca własna studenta:</w:t>
            </w:r>
          </w:p>
          <w:p w:rsidR="00CA345A" w:rsidRPr="00B51897" w:rsidRDefault="00CA345A" w:rsidP="00CA345A">
            <w:pPr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 xml:space="preserve">czytanie wskazanych fragmentów literatury 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 xml:space="preserve">      – 30 h;</w:t>
            </w:r>
          </w:p>
          <w:p w:rsidR="00CA345A" w:rsidRPr="00B51897" w:rsidRDefault="00CA345A" w:rsidP="00CA345A">
            <w:pPr>
              <w:numPr>
                <w:ilvl w:val="1"/>
                <w:numId w:val="2"/>
              </w:numPr>
              <w:tabs>
                <w:tab w:val="clear" w:pos="1440"/>
                <w:tab w:val="num" w:pos="360"/>
              </w:tabs>
              <w:spacing w:after="0" w:line="240" w:lineRule="auto"/>
              <w:ind w:hanging="1440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analiza wydarzeń bieżących – 10 h;</w:t>
            </w:r>
          </w:p>
          <w:p w:rsidR="00CA345A" w:rsidRPr="00B51897" w:rsidRDefault="00CA345A" w:rsidP="00CA345A">
            <w:pPr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przygotowanie do egzaminu - 15 h;</w:t>
            </w:r>
          </w:p>
          <w:p w:rsidR="00CA345A" w:rsidRPr="00B51897" w:rsidRDefault="00CA345A" w:rsidP="00CA345A">
            <w:pPr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przygotowanie do ćwiczeń – 10 h;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Łączna liczba godzin: 125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Punkty ECTS: 5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A345A" w:rsidRPr="00B51897" w:rsidRDefault="00CA345A" w:rsidP="009E2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51897">
              <w:rPr>
                <w:rFonts w:ascii="Times New Roman" w:hAnsi="Times New Roman"/>
                <w:b/>
                <w:color w:val="000000"/>
              </w:rPr>
              <w:t>Studia niestacjonarne</w:t>
            </w:r>
          </w:p>
          <w:p w:rsidR="00CA345A" w:rsidRPr="00B51897" w:rsidRDefault="00CA345A" w:rsidP="00CA345A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 xml:space="preserve">Godziny kontaktowe: </w:t>
            </w:r>
          </w:p>
          <w:p w:rsidR="00CA345A" w:rsidRPr="00B51897" w:rsidRDefault="00CA345A" w:rsidP="009E2C8E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 xml:space="preserve">- 10 h wykładów; </w:t>
            </w:r>
          </w:p>
          <w:p w:rsidR="00CA345A" w:rsidRPr="00B51897" w:rsidRDefault="00CA345A" w:rsidP="009E2C8E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- 10 h ćwiczeń;</w:t>
            </w:r>
          </w:p>
          <w:p w:rsidR="00CA345A" w:rsidRPr="00B51897" w:rsidRDefault="00CA345A" w:rsidP="009E2C8E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- 10 h konsultacje.</w:t>
            </w:r>
          </w:p>
          <w:p w:rsidR="00CA345A" w:rsidRPr="00B51897" w:rsidRDefault="00CA345A" w:rsidP="00CA345A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Praca własna studenta:</w:t>
            </w:r>
          </w:p>
          <w:p w:rsidR="00CA345A" w:rsidRPr="00B51897" w:rsidRDefault="00CA345A" w:rsidP="00CA345A">
            <w:pPr>
              <w:numPr>
                <w:ilvl w:val="0"/>
                <w:numId w:val="3"/>
              </w:numPr>
              <w:spacing w:after="0" w:line="240" w:lineRule="auto"/>
              <w:ind w:left="285" w:hanging="28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czytanie wskazanych fragmentów literatury - 55 h;</w:t>
            </w:r>
          </w:p>
          <w:p w:rsidR="00CA345A" w:rsidRPr="00B51897" w:rsidRDefault="00CA345A" w:rsidP="00CA345A">
            <w:pPr>
              <w:numPr>
                <w:ilvl w:val="0"/>
                <w:numId w:val="3"/>
              </w:numPr>
              <w:spacing w:after="0" w:line="240" w:lineRule="auto"/>
              <w:ind w:left="285" w:hanging="28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analiza wydarzeń bieżących – 10 h;</w:t>
            </w:r>
          </w:p>
          <w:p w:rsidR="00CA345A" w:rsidRPr="00B51897" w:rsidRDefault="00CA345A" w:rsidP="00CA345A">
            <w:pPr>
              <w:numPr>
                <w:ilvl w:val="0"/>
                <w:numId w:val="3"/>
              </w:numPr>
              <w:spacing w:after="0" w:line="240" w:lineRule="auto"/>
              <w:ind w:left="285" w:hanging="28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przygotowanie do egzaminu - 20 h;</w:t>
            </w:r>
          </w:p>
          <w:p w:rsidR="00CA345A" w:rsidRPr="00B51897" w:rsidRDefault="00CA345A" w:rsidP="00CA345A">
            <w:pPr>
              <w:numPr>
                <w:ilvl w:val="0"/>
                <w:numId w:val="3"/>
              </w:numPr>
              <w:spacing w:after="0" w:line="240" w:lineRule="auto"/>
              <w:ind w:left="285" w:hanging="285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przygotowanie do ćwiczeń – 10 h;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Łączna liczba godzin: 125</w:t>
            </w:r>
          </w:p>
          <w:p w:rsidR="00CA345A" w:rsidRPr="00B51897" w:rsidRDefault="00CA345A" w:rsidP="009E2C8E">
            <w:pPr>
              <w:spacing w:after="0" w:line="240" w:lineRule="auto"/>
              <w:rPr>
                <w:rFonts w:ascii="Times New Roman" w:hAnsi="Times New Roman"/>
              </w:rPr>
            </w:pPr>
            <w:r w:rsidRPr="00B51897">
              <w:rPr>
                <w:rFonts w:ascii="Times New Roman" w:hAnsi="Times New Roman"/>
              </w:rPr>
              <w:t>Punkty ECTS: 5</w:t>
            </w:r>
          </w:p>
        </w:tc>
      </w:tr>
    </w:tbl>
    <w:p w:rsidR="00CA345A" w:rsidRPr="00B51897" w:rsidRDefault="00CA345A" w:rsidP="00CA345A">
      <w:pPr>
        <w:spacing w:after="0" w:line="240" w:lineRule="auto"/>
        <w:rPr>
          <w:rFonts w:ascii="Times New Roman" w:hAnsi="Times New Roman"/>
        </w:rPr>
      </w:pPr>
    </w:p>
    <w:p w:rsidR="00CA345A" w:rsidRPr="00B51897" w:rsidRDefault="00CA345A" w:rsidP="00CA345A">
      <w:pPr>
        <w:spacing w:after="0" w:line="240" w:lineRule="auto"/>
        <w:rPr>
          <w:rFonts w:ascii="Times New Roman" w:hAnsi="Times New Roman"/>
        </w:rPr>
      </w:pPr>
    </w:p>
    <w:p w:rsidR="00CA345A" w:rsidRPr="00B51897" w:rsidRDefault="00CA345A" w:rsidP="00CA345A">
      <w:pPr>
        <w:spacing w:after="0" w:line="240" w:lineRule="auto"/>
        <w:rPr>
          <w:rFonts w:ascii="Times New Roman" w:hAnsi="Times New Roman"/>
        </w:rPr>
      </w:pPr>
    </w:p>
    <w:p w:rsidR="00CA345A" w:rsidRPr="00B51897" w:rsidRDefault="00CA345A" w:rsidP="00CA345A">
      <w:pPr>
        <w:spacing w:after="0" w:line="240" w:lineRule="auto"/>
        <w:rPr>
          <w:rFonts w:ascii="Times New Roman" w:hAnsi="Times New Roman"/>
        </w:rPr>
      </w:pPr>
    </w:p>
    <w:p w:rsidR="00CA345A" w:rsidRPr="00B51897" w:rsidRDefault="00CA345A" w:rsidP="00CA345A">
      <w:pPr>
        <w:spacing w:after="0" w:line="240" w:lineRule="auto"/>
        <w:rPr>
          <w:rFonts w:ascii="Times New Roman" w:hAnsi="Times New Roman"/>
        </w:rPr>
      </w:pPr>
    </w:p>
    <w:bookmarkEnd w:id="0"/>
    <w:p w:rsidR="00DA7749" w:rsidRPr="00B51897" w:rsidRDefault="00DA7749">
      <w:pPr>
        <w:rPr>
          <w:rFonts w:ascii="Times New Roman" w:hAnsi="Times New Roman"/>
        </w:rPr>
      </w:pPr>
    </w:p>
    <w:sectPr w:rsidR="00DA7749" w:rsidRPr="00B5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5BA"/>
    <w:multiLevelType w:val="hybridMultilevel"/>
    <w:tmpl w:val="ED904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23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B6D7C"/>
    <w:multiLevelType w:val="hybridMultilevel"/>
    <w:tmpl w:val="DE7CF952"/>
    <w:lvl w:ilvl="0" w:tplc="0FEE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F3694"/>
    <w:multiLevelType w:val="hybridMultilevel"/>
    <w:tmpl w:val="170EF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A79CB"/>
    <w:multiLevelType w:val="hybridMultilevel"/>
    <w:tmpl w:val="2C0415D8"/>
    <w:lvl w:ilvl="0" w:tplc="433CC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5A"/>
    <w:rsid w:val="002D4C7C"/>
    <w:rsid w:val="00B51897"/>
    <w:rsid w:val="00C31C9C"/>
    <w:rsid w:val="00CA345A"/>
    <w:rsid w:val="00D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4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A345A"/>
    <w:pPr>
      <w:spacing w:after="0" w:line="240" w:lineRule="auto"/>
      <w:ind w:left="720"/>
      <w:contextualSpacing/>
    </w:pPr>
  </w:style>
  <w:style w:type="paragraph" w:styleId="Bezodstpw">
    <w:name w:val="No Spacing"/>
    <w:qFormat/>
    <w:rsid w:val="00CA345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CA3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CA345A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CA345A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4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A345A"/>
    <w:pPr>
      <w:spacing w:after="0" w:line="240" w:lineRule="auto"/>
      <w:ind w:left="720"/>
      <w:contextualSpacing/>
    </w:pPr>
  </w:style>
  <w:style w:type="paragraph" w:styleId="Bezodstpw">
    <w:name w:val="No Spacing"/>
    <w:qFormat/>
    <w:rsid w:val="00CA345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CA34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CA345A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CA345A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799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dcterms:created xsi:type="dcterms:W3CDTF">2018-10-01T09:00:00Z</dcterms:created>
  <dcterms:modified xsi:type="dcterms:W3CDTF">2019-02-20T13:25:00Z</dcterms:modified>
</cp:coreProperties>
</file>